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A" w:rsidRDefault="005E7EA6">
      <w:r>
        <w:t>Chapter 8 Study Guide</w:t>
      </w:r>
    </w:p>
    <w:p w:rsidR="005E7EA6" w:rsidRDefault="005E7EA6" w:rsidP="005E7EA6">
      <w:r>
        <w:t xml:space="preserve">Make sure all chapter worksheets are </w:t>
      </w:r>
      <w:proofErr w:type="gramStart"/>
      <w:r>
        <w:t>completed  for</w:t>
      </w:r>
      <w:proofErr w:type="gramEnd"/>
      <w:r>
        <w:t xml:space="preserve"> class tomorrow 4/10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Cell cycle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Interphase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Prophase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Metaphase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Anaphase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proofErr w:type="spellStart"/>
      <w:r>
        <w:t>Telophase</w:t>
      </w:r>
      <w:proofErr w:type="spellEnd"/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Cytokinesis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proofErr w:type="spellStart"/>
      <w:r>
        <w:t>Meioisis</w:t>
      </w:r>
      <w:proofErr w:type="spellEnd"/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Spermatogenesis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Oogenesis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Homologous chromosomes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Chromatin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Chromatid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Centromere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Sister chromatids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Spindle fibers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Centrioles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Karyotype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Cell differentiation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Cancer cells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Pros and cons of stem cells</w:t>
      </w:r>
    </w:p>
    <w:p w:rsidR="005E7EA6" w:rsidRDefault="005E7EA6" w:rsidP="005E7EA6">
      <w:pPr>
        <w:pStyle w:val="ListParagraph"/>
        <w:numPr>
          <w:ilvl w:val="0"/>
          <w:numId w:val="2"/>
        </w:numPr>
      </w:pPr>
      <w:r>
        <w:t>Polar bodies</w:t>
      </w:r>
      <w:bookmarkStart w:id="0" w:name="_GoBack"/>
      <w:bookmarkEnd w:id="0"/>
    </w:p>
    <w:p w:rsidR="005E7EA6" w:rsidRDefault="005E7EA6" w:rsidP="005E7EA6">
      <w:pPr>
        <w:ind w:left="360"/>
      </w:pPr>
    </w:p>
    <w:sectPr w:rsidR="005E7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992"/>
    <w:multiLevelType w:val="hybridMultilevel"/>
    <w:tmpl w:val="B4E4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363C"/>
    <w:multiLevelType w:val="hybridMultilevel"/>
    <w:tmpl w:val="CAEA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6"/>
    <w:rsid w:val="0018150D"/>
    <w:rsid w:val="004B293C"/>
    <w:rsid w:val="005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2012-04-09T15:29:00Z</dcterms:created>
  <dcterms:modified xsi:type="dcterms:W3CDTF">2012-04-09T15:32:00Z</dcterms:modified>
</cp:coreProperties>
</file>